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D7" w:rsidRDefault="00532533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 w:rsidR="003269D7" w:rsidRDefault="00532533">
      <w:pPr>
        <w:pStyle w:val="a5"/>
        <w:spacing w:line="600" w:lineRule="atLeast"/>
        <w:ind w:left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四川轻化工大学简介</w:t>
      </w:r>
    </w:p>
    <w:p w:rsidR="00922575" w:rsidRPr="00D92914" w:rsidRDefault="00922575" w:rsidP="0092257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2914">
        <w:rPr>
          <w:rFonts w:asciiTheme="minorEastAsia" w:hAnsiTheme="minorEastAsia" w:hint="eastAsia"/>
          <w:sz w:val="28"/>
          <w:szCs w:val="28"/>
        </w:rPr>
        <w:t>四川轻化工大学是一所工学、理学、管理学、教育学、文学、历史学、艺术学、法学、经济学等九大学科协调发展的具有五十余年本科、近二十年研究生教育历程的普通全日制高等学校。学校坐落在两个国家历史文化名城自贡市和宜宾市，拥有李白河、汇东、宜宾三个校区。学校办学历史悠久、教育传统优秀，连续两次获得国家“中西部高校基础能力建设工程”项目，是国家卓越工程师教育培养计划高校、教育部数据中国“百校工程”建设院校、教育部首批高等学校科技成果转化和技术转移基地、国家级大学生创新创业训练计划高校、首批四川省博士后创新实践基地、四川省首批创新改革试点高校、四川省深化创新创业教育改革示范高校、四川省高新技术产业示范科研单位、中国酒业协会授牌与五粮液集团共建的“中国白酒学院”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环境优美，风景如画，是学生奠基人生梦想、教师实现学术抱负的理想之地。美轮美奂的宜宾校区被誉为“宜宾旅游打卡圣地”，宏伟现代的自贡李白河校区被称为“别人家的大学”。学校占地面积4600余亩，建筑面积160多万平方米，国有资产总值近百亿元。目前图书纸质文献总量290余万册，中外文献数据库76个，电子资源本地镜像50T，折合电子资源500余万册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学校拥有一支业务精湛、奋发有为、充满活力的师资队伍。学校现有教职工2322人，其中，专任教师1763人：教授、副教授占</w:t>
      </w: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比近40%；具有博士、硕士学位教师占比80.2%；现有国家杰出青年科学基金获得者、入选国家级人才项目等省部级以上专家80人次；聘请特聘教授、兼职教授、客座教授100余人，其中“两院”院士3人，国家重点人才计划特聘专家、国家杰出青年科学基金获得者12人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学科门类齐全、综合性强、特色明显，拥有化学工艺、模式识别与智能系统、发酵工程等3个四川省重点学科；现有化学工程与技术、控制科学与工程、机械工程、管理科学与工程、食品科学与工程、化学、数学等7个一级学科硕士授权点，涵盖34个二级学科；有电子信息、生物与医药、机械、材料与化工、法律硕士、教育硕士、艺术硕士、会计硕士、农业硕士等9个专业学位类别，涵盖18个专业学位领域。在长期办学过程中，形成了基础宽厚、文理交融、突出应用与创新的办学特色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现有24个学院，77个本科专业，面向全国31个省（市、自治区）招生，现有全日制在校研究生、本科生、留学生等4.2万人。学校现有5个国家级一流本科专业，11个省级一流专业，4个国家级特色专业，9个省级特色专业，5个国家级卓越工程师教育培养计划专业，9个省级“卓越计划”教育培养专业，4个省级应用型示范专业；3个国家级工程实践教育中心，1个国家级大学生校外实践教育基地，1个省级博士后创新实践基地，3个省级教学示范中心，2个省级虚拟仿真实验教学中心，1个省级人才培养模式创新实验区；10门省级应用型示范课程，1门国家一流课程，</w:t>
      </w: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19门省级一流课程，9门省级“课程思政”示范课程，6门省级创新创业教育示范课程。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拥有国家级晨光高性能氟材料创新中心、国家级大学科技园，拥有酿酒生物技术及应用四川省重点实验室、人工智能四川省重点实验室、材料腐蚀与防护四川省重点实验室等省级重点实验室3个；中国盐文化研究中心、川酒发展研究中心等四川省哲学社会科学重点研究基地2个；民俗灯文化普及基地四川省社会科学普及基地1个；四川省创新团队5个；四川省院士（专家）工作站1个；四川省工程实验室2个；四川省产业技术研究院2个：四川省高校重点实验室5个；四川省高校人文社科重点研究基地4个；四川省旅游科研重点基地1个；四川省知识产权教育培训基地1个；四川省2011协同创新中心4个；四川省产业技术创新联盟8个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始终坚持“学科支撑产业、专业服务行业”的理念，凝智聚力，积极推进科研成果转化。学校先后与省内外10余个市级人民政府，与五粮液、泸州老窖、中昊集团晨光化工研究院、华西能源等100多家知名企业签订了全面战略协议和产学研合作协议，全面开展人才培养与科技攻关合作，以建设特色产业学院、研究机构、成立产业联盟等形式，与行业企业实现资源共享、优势互补，推动高水平科研成果转化为现实生产力。</w:t>
      </w:r>
    </w:p>
    <w:p w:rsidR="00922575" w:rsidRPr="00D92914" w:rsidRDefault="00922575" w:rsidP="00922575">
      <w:pPr>
        <w:pStyle w:val="a5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t>学校秉承开放办学理念，积极开展对外交流活动，与世界上20多个国家50余所国外高校和科研机构建立了合作与交流关系，招</w:t>
      </w:r>
      <w:r w:rsidRPr="00D92914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收了来自60余个国家700余名的各类留学生，近2000名学生赴国(境)外交流学习、实习、考察或联合培养，每年近百名教师出国（境）学术交流和访学。建有2个汉语言文化中心。获教育部批准与美国圣弗朗西斯大学联合举办“视觉传达与设计”中外合作办学本科项目。</w:t>
      </w:r>
    </w:p>
    <w:p w:rsidR="003269D7" w:rsidRPr="00922575" w:rsidRDefault="003269D7" w:rsidP="00922575">
      <w:pPr>
        <w:pStyle w:val="a5"/>
        <w:spacing w:line="600" w:lineRule="atLeast"/>
        <w:ind w:firstLine="420"/>
      </w:pPr>
    </w:p>
    <w:sectPr w:rsidR="003269D7" w:rsidRPr="00922575" w:rsidSect="0032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C8" w:rsidRDefault="00F40DC8" w:rsidP="007755E8">
      <w:r>
        <w:separator/>
      </w:r>
    </w:p>
  </w:endnote>
  <w:endnote w:type="continuationSeparator" w:id="1">
    <w:p w:rsidR="00F40DC8" w:rsidRDefault="00F40DC8" w:rsidP="0077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C8" w:rsidRDefault="00F40DC8" w:rsidP="007755E8">
      <w:r>
        <w:separator/>
      </w:r>
    </w:p>
  </w:footnote>
  <w:footnote w:type="continuationSeparator" w:id="1">
    <w:p w:rsidR="00F40DC8" w:rsidRDefault="00F40DC8" w:rsidP="00775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614E"/>
    <w:rsid w:val="002C1288"/>
    <w:rsid w:val="003269D7"/>
    <w:rsid w:val="00532533"/>
    <w:rsid w:val="006B747A"/>
    <w:rsid w:val="007755E8"/>
    <w:rsid w:val="00870E36"/>
    <w:rsid w:val="00922575"/>
    <w:rsid w:val="009F4ED1"/>
    <w:rsid w:val="00BE1DB6"/>
    <w:rsid w:val="00DC614E"/>
    <w:rsid w:val="00E768D6"/>
    <w:rsid w:val="00F40DC8"/>
    <w:rsid w:val="00FA1D64"/>
    <w:rsid w:val="3EF42976"/>
    <w:rsid w:val="78181CE8"/>
    <w:rsid w:val="7C45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269D7"/>
    <w:pPr>
      <w:widowControl/>
      <w:spacing w:before="150" w:after="150"/>
      <w:ind w:left="150" w:right="150"/>
      <w:jc w:val="left"/>
    </w:pPr>
    <w:rPr>
      <w:rFonts w:ascii="宋体" w:hAnsi="宋体" w:cs="宋体"/>
      <w:color w:val="333333"/>
      <w:kern w:val="0"/>
      <w:sz w:val="24"/>
    </w:rPr>
  </w:style>
  <w:style w:type="character" w:styleId="a6">
    <w:name w:val="Strong"/>
    <w:basedOn w:val="a0"/>
    <w:uiPriority w:val="22"/>
    <w:qFormat/>
    <w:rsid w:val="003269D7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3269D7"/>
    <w:rPr>
      <w:color w:val="0000FF"/>
      <w:sz w:val="19"/>
      <w:szCs w:val="19"/>
      <w:u w:val="none"/>
    </w:rPr>
  </w:style>
  <w:style w:type="character" w:styleId="a8">
    <w:name w:val="Hyperlink"/>
    <w:basedOn w:val="a0"/>
    <w:uiPriority w:val="99"/>
    <w:semiHidden/>
    <w:unhideWhenUsed/>
    <w:qFormat/>
    <w:rsid w:val="003269D7"/>
    <w:rPr>
      <w:color w:val="0000FF"/>
      <w:sz w:val="19"/>
      <w:szCs w:val="19"/>
      <w:u w:val="none"/>
    </w:rPr>
  </w:style>
  <w:style w:type="character" w:styleId="HTML">
    <w:name w:val="HTML Code"/>
    <w:basedOn w:val="a0"/>
    <w:uiPriority w:val="99"/>
    <w:semiHidden/>
    <w:unhideWhenUsed/>
    <w:qFormat/>
    <w:rsid w:val="003269D7"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0">
    <w:name w:val="HTML Keyboard"/>
    <w:basedOn w:val="a0"/>
    <w:uiPriority w:val="99"/>
    <w:semiHidden/>
    <w:unhideWhenUsed/>
    <w:qFormat/>
    <w:rsid w:val="003269D7"/>
    <w:rPr>
      <w:rFonts w:ascii="Consolas" w:eastAsia="Consolas" w:hAnsi="Consolas" w:cs="Consolas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uiPriority w:val="99"/>
    <w:semiHidden/>
    <w:unhideWhenUsed/>
    <w:qFormat/>
    <w:rsid w:val="003269D7"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269D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69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周珊</cp:lastModifiedBy>
  <cp:revision>6</cp:revision>
  <dcterms:created xsi:type="dcterms:W3CDTF">2018-11-20T05:28:00Z</dcterms:created>
  <dcterms:modified xsi:type="dcterms:W3CDTF">2022-03-23T08:08:00Z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